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B5D4" w14:textId="77777777" w:rsidR="00625B4A" w:rsidRPr="00625B4A" w:rsidRDefault="00625B4A" w:rsidP="00625B4A">
      <w:pPr>
        <w:jc w:val="center"/>
        <w:rPr>
          <w:b/>
        </w:rPr>
      </w:pPr>
      <w:r w:rsidRPr="00625B4A">
        <w:rPr>
          <w:b/>
        </w:rPr>
        <w:t xml:space="preserve">NSCS </w:t>
      </w:r>
      <w:r w:rsidR="004A6149">
        <w:rPr>
          <w:b/>
        </w:rPr>
        <w:t xml:space="preserve">Capital Construction </w:t>
      </w:r>
      <w:r w:rsidR="00427E76">
        <w:rPr>
          <w:b/>
        </w:rPr>
        <w:t>Program</w:t>
      </w:r>
      <w:r w:rsidR="004A6149">
        <w:rPr>
          <w:b/>
        </w:rPr>
        <w:t xml:space="preserve"> Statement</w:t>
      </w:r>
      <w:r w:rsidRPr="00625B4A">
        <w:rPr>
          <w:b/>
        </w:rPr>
        <w:t xml:space="preserve"> Template</w:t>
      </w:r>
      <w:r w:rsidR="004A6149">
        <w:rPr>
          <w:b/>
        </w:rPr>
        <w:t xml:space="preserve"> (2020</w:t>
      </w:r>
      <w:r w:rsidR="008C6000">
        <w:rPr>
          <w:b/>
        </w:rPr>
        <w:t>)</w:t>
      </w:r>
    </w:p>
    <w:p w14:paraId="7F05641F" w14:textId="77777777" w:rsidR="00625B4A" w:rsidRDefault="00625B4A"/>
    <w:p w14:paraId="0CDEFEDD" w14:textId="77777777" w:rsidR="00427E76" w:rsidRDefault="00427E76" w:rsidP="00427E76">
      <w:pPr>
        <w:pStyle w:val="NoSpacing"/>
      </w:pPr>
      <w:r>
        <w:t xml:space="preserve">A Program Statement is a planning document for renovation or new construction of programmed facility space that details the scope of the proposed space modifications and associated </w:t>
      </w:r>
      <w:proofErr w:type="gramStart"/>
      <w:r>
        <w:t>construction, and</w:t>
      </w:r>
      <w:proofErr w:type="gramEnd"/>
      <w:r>
        <w:t xml:space="preserve"> provides a thorough total project budget estimate.  Program Statements are typically developed by architecture/engineering consulting firms using program and facilities information provided by the College.  Program Statements are required for Board approval of </w:t>
      </w:r>
      <w:r w:rsidRPr="00A74F51">
        <w:rPr>
          <w:i/>
        </w:rPr>
        <w:t>Capital Construction</w:t>
      </w:r>
      <w:r>
        <w:t xml:space="preserve"> projects per Policy 8060, </w:t>
      </w:r>
      <w:r w:rsidRPr="00A74F51">
        <w:rPr>
          <w:i/>
        </w:rPr>
        <w:t>Section 2</w:t>
      </w:r>
      <w:r>
        <w:t>.</w:t>
      </w:r>
    </w:p>
    <w:p w14:paraId="61E412AA" w14:textId="77777777" w:rsidR="00427E76" w:rsidRDefault="00427E76" w:rsidP="00427E76">
      <w:pPr>
        <w:pStyle w:val="NoSpacing"/>
      </w:pPr>
    </w:p>
    <w:p w14:paraId="05ACEE4F" w14:textId="77777777" w:rsidR="00427E76" w:rsidRPr="00CA55DA" w:rsidRDefault="00427E76" w:rsidP="00427E76">
      <w:pPr>
        <w:pStyle w:val="NoSpacing"/>
        <w:rPr>
          <w:i/>
        </w:rPr>
      </w:pPr>
      <w:r>
        <w:t xml:space="preserve">When preparing a Program Statement, see also the requirements of </w:t>
      </w:r>
      <w:r w:rsidRPr="00CA55DA">
        <w:rPr>
          <w:i/>
        </w:rPr>
        <w:t xml:space="preserve">Board Policy 8036 </w:t>
      </w:r>
      <w:proofErr w:type="gramStart"/>
      <w:r w:rsidRPr="00CA55DA">
        <w:rPr>
          <w:i/>
        </w:rPr>
        <w:t>Facilities;</w:t>
      </w:r>
      <w:proofErr w:type="gramEnd"/>
      <w:r w:rsidRPr="00CA55DA">
        <w:rPr>
          <w:i/>
        </w:rPr>
        <w:t xml:space="preserve"> Planning for Technology.</w:t>
      </w:r>
    </w:p>
    <w:p w14:paraId="563F0B6A" w14:textId="77777777" w:rsidR="00427E76" w:rsidRDefault="00427E76" w:rsidP="00427E76">
      <w:pPr>
        <w:pStyle w:val="NoSpacing"/>
      </w:pPr>
    </w:p>
    <w:p w14:paraId="4BA5BC9F" w14:textId="77777777" w:rsidR="00427E76" w:rsidRDefault="00427E76" w:rsidP="00427E76">
      <w:pPr>
        <w:pStyle w:val="NoSpacing"/>
      </w:pPr>
      <w:r>
        <w:t xml:space="preserve">Program Statements are presented to the Board by the project design consulting firm for the purpose of obtaining Board approval.  </w:t>
      </w:r>
    </w:p>
    <w:p w14:paraId="3041F4CE" w14:textId="77777777" w:rsidR="00427E76" w:rsidRDefault="00427E76" w:rsidP="00427E76">
      <w:pPr>
        <w:pStyle w:val="NoSpacing"/>
      </w:pPr>
    </w:p>
    <w:p w14:paraId="6D5962E4" w14:textId="77777777" w:rsidR="00427E76" w:rsidRDefault="00427E76" w:rsidP="00427E76">
      <w:pPr>
        <w:pStyle w:val="NoSpacing"/>
      </w:pPr>
      <w:r>
        <w:t>The Vice Chancellor for Facilities and IT is responsible for submitting Program Statements to applicable state offices for review, and to the CCPE for approval.</w:t>
      </w:r>
    </w:p>
    <w:p w14:paraId="1933BFCA" w14:textId="77777777" w:rsidR="00427E76" w:rsidRDefault="00427E76" w:rsidP="00427E76">
      <w:pPr>
        <w:pStyle w:val="NoSpacing"/>
      </w:pPr>
    </w:p>
    <w:p w14:paraId="71515EB4" w14:textId="77777777" w:rsidR="00427E76" w:rsidRDefault="00427E76" w:rsidP="00427E76">
      <w:pPr>
        <w:pStyle w:val="NoSpacing"/>
      </w:pPr>
      <w:r>
        <w:t>The Program Statement format is as follows:</w:t>
      </w:r>
    </w:p>
    <w:p w14:paraId="59AB13AE" w14:textId="77777777" w:rsidR="00427E76" w:rsidRDefault="00427E76" w:rsidP="00427E76">
      <w:pPr>
        <w:pStyle w:val="NoSpacing"/>
      </w:pPr>
    </w:p>
    <w:p w14:paraId="131ED075" w14:textId="77777777" w:rsidR="00427E76" w:rsidRDefault="00427E76" w:rsidP="00427E76">
      <w:pPr>
        <w:pStyle w:val="NoSpacing"/>
        <w:numPr>
          <w:ilvl w:val="0"/>
          <w:numId w:val="22"/>
        </w:numPr>
      </w:pPr>
      <w:r>
        <w:t>Introduction</w:t>
      </w:r>
    </w:p>
    <w:p w14:paraId="202FCE9B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Background and history</w:t>
      </w:r>
    </w:p>
    <w:p w14:paraId="6515C954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Project description</w:t>
      </w:r>
    </w:p>
    <w:p w14:paraId="0FD97E20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Purpose and objectives</w:t>
      </w:r>
    </w:p>
    <w:p w14:paraId="25C8469A" w14:textId="77777777" w:rsidR="00427E76" w:rsidRDefault="00427E76" w:rsidP="00427E76">
      <w:pPr>
        <w:pStyle w:val="NoSpacing"/>
        <w:numPr>
          <w:ilvl w:val="0"/>
          <w:numId w:val="22"/>
        </w:numPr>
      </w:pPr>
      <w:r>
        <w:t>Justification of the Project</w:t>
      </w:r>
    </w:p>
    <w:p w14:paraId="0F494589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Data which supports the funding request</w:t>
      </w:r>
    </w:p>
    <w:p w14:paraId="08FD461B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Alternatives considered (when applicable)</w:t>
      </w:r>
    </w:p>
    <w:p w14:paraId="77772929" w14:textId="77777777" w:rsidR="00427E76" w:rsidRDefault="00427E76" w:rsidP="00427E76">
      <w:pPr>
        <w:pStyle w:val="NoSpacing"/>
        <w:numPr>
          <w:ilvl w:val="0"/>
          <w:numId w:val="22"/>
        </w:numPr>
      </w:pPr>
      <w:r>
        <w:t>Location and Site Considerations</w:t>
      </w:r>
    </w:p>
    <w:p w14:paraId="3173024E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County</w:t>
      </w:r>
    </w:p>
    <w:p w14:paraId="242C4048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Town or campus</w:t>
      </w:r>
    </w:p>
    <w:p w14:paraId="50AACABE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Proposed site</w:t>
      </w:r>
    </w:p>
    <w:p w14:paraId="4330CAE4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Statewide building inventory number (not required for new buildings)</w:t>
      </w:r>
    </w:p>
    <w:p w14:paraId="41E46DEF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Influence of project on existing site conditions</w:t>
      </w:r>
    </w:p>
    <w:p w14:paraId="735A533F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Relationship to neighbors and environment</w:t>
      </w:r>
    </w:p>
    <w:p w14:paraId="6B388787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Utilities</w:t>
      </w:r>
    </w:p>
    <w:p w14:paraId="72B438C1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Parking and circulation</w:t>
      </w:r>
    </w:p>
    <w:p w14:paraId="06F247EA" w14:textId="77777777" w:rsidR="00427E76" w:rsidRDefault="00427E76" w:rsidP="00427E76">
      <w:pPr>
        <w:pStyle w:val="NoSpacing"/>
        <w:numPr>
          <w:ilvl w:val="0"/>
          <w:numId w:val="22"/>
        </w:numPr>
      </w:pPr>
      <w:r>
        <w:t>Comprehensive Plan Compliance</w:t>
      </w:r>
    </w:p>
    <w:p w14:paraId="17BDA2F8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Year of agency-campus comprehensive plan and updates or revisions</w:t>
      </w:r>
    </w:p>
    <w:p w14:paraId="6121B818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Consistency with agency-campus comprehensive capital facilities plan</w:t>
      </w:r>
    </w:p>
    <w:p w14:paraId="65A04CCE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Consistency with the current version of the CCPE Project Review Criteria/Statewide Plan (not applicable for revenue bond project Program Statements)</w:t>
      </w:r>
    </w:p>
    <w:p w14:paraId="51AF5DBE" w14:textId="77777777" w:rsidR="00427E76" w:rsidRDefault="00427E76" w:rsidP="00427E76">
      <w:pPr>
        <w:pStyle w:val="NoSpacing"/>
        <w:numPr>
          <w:ilvl w:val="0"/>
          <w:numId w:val="22"/>
        </w:numPr>
      </w:pPr>
      <w:r>
        <w:t>Analysis of Existing Facilities</w:t>
      </w:r>
    </w:p>
    <w:p w14:paraId="4FAC12DF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Functions/purpose of existing programs as they relate to the proposed project</w:t>
      </w:r>
    </w:p>
    <w:p w14:paraId="175CCE7B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Square footage of existing areas</w:t>
      </w:r>
    </w:p>
    <w:p w14:paraId="5E69F383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Utilization of existing space by facility, room and/or function (whichever applicable)</w:t>
      </w:r>
    </w:p>
    <w:p w14:paraId="21AFD696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Physical deficiencies</w:t>
      </w:r>
    </w:p>
    <w:p w14:paraId="71C804D7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Programmatic deficiencies</w:t>
      </w:r>
    </w:p>
    <w:p w14:paraId="216EAFD5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Replacement cost of existing building</w:t>
      </w:r>
    </w:p>
    <w:p w14:paraId="2E5C3E72" w14:textId="77777777" w:rsidR="00427E76" w:rsidRDefault="00427E76" w:rsidP="00427E76">
      <w:pPr>
        <w:pStyle w:val="NoSpacing"/>
        <w:numPr>
          <w:ilvl w:val="0"/>
          <w:numId w:val="22"/>
        </w:numPr>
      </w:pPr>
      <w:r>
        <w:lastRenderedPageBreak/>
        <w:t>Facility Requirements and the Impact of the Proposed Project</w:t>
      </w:r>
    </w:p>
    <w:p w14:paraId="23D45A81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Functions/purpose of the proposed program</w:t>
      </w:r>
    </w:p>
    <w:p w14:paraId="24A0DE75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Activity identification and analysis</w:t>
      </w:r>
    </w:p>
    <w:p w14:paraId="4A82EEF1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Projected occupancy/use levels</w:t>
      </w:r>
    </w:p>
    <w:p w14:paraId="1C15757C" w14:textId="77777777" w:rsidR="00427E76" w:rsidRDefault="00427E76" w:rsidP="00427E76">
      <w:pPr>
        <w:pStyle w:val="NoSpacing"/>
        <w:numPr>
          <w:ilvl w:val="3"/>
          <w:numId w:val="22"/>
        </w:numPr>
      </w:pPr>
      <w:r>
        <w:t>Personnel projections</w:t>
      </w:r>
    </w:p>
    <w:p w14:paraId="7E48D907" w14:textId="77777777" w:rsidR="00427E76" w:rsidRDefault="00427E76" w:rsidP="00427E76">
      <w:pPr>
        <w:pStyle w:val="NoSpacing"/>
        <w:numPr>
          <w:ilvl w:val="3"/>
          <w:numId w:val="22"/>
        </w:numPr>
      </w:pPr>
      <w:r>
        <w:t>Describe/Justify projected enrollments/occupancy</w:t>
      </w:r>
    </w:p>
    <w:p w14:paraId="4BBAF095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Space requirements</w:t>
      </w:r>
    </w:p>
    <w:p w14:paraId="5DAC5487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Square footage by individual areas and/or functions</w:t>
      </w:r>
    </w:p>
    <w:p w14:paraId="37339510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Basis for square footage/planning parameters</w:t>
      </w:r>
    </w:p>
    <w:p w14:paraId="50EA4E5E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Square footage difference between existing and proposed areas (net and gross)</w:t>
      </w:r>
    </w:p>
    <w:p w14:paraId="47CD57E5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Impact of the proposed project on existing space</w:t>
      </w:r>
    </w:p>
    <w:p w14:paraId="2BB1CDAD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Reutilization and function(s)</w:t>
      </w:r>
    </w:p>
    <w:p w14:paraId="5F2C2563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Demolition</w:t>
      </w:r>
    </w:p>
    <w:p w14:paraId="3BA32201" w14:textId="36C203FE" w:rsidR="00427E76" w:rsidRDefault="00427E76" w:rsidP="00427E76">
      <w:pPr>
        <w:pStyle w:val="NoSpacing"/>
        <w:numPr>
          <w:ilvl w:val="2"/>
          <w:numId w:val="22"/>
        </w:numPr>
      </w:pPr>
      <w:r>
        <w:t>Renovation</w:t>
      </w:r>
    </w:p>
    <w:p w14:paraId="4C1FE816" w14:textId="0DB8C2B0" w:rsidR="00B1329B" w:rsidRDefault="00016B30" w:rsidP="00016B30">
      <w:pPr>
        <w:pStyle w:val="NoSpacing"/>
        <w:numPr>
          <w:ilvl w:val="1"/>
          <w:numId w:val="22"/>
        </w:numPr>
      </w:pPr>
      <w:r>
        <w:t>Space Program Summary and Room Data Sheets</w:t>
      </w:r>
      <w:r w:rsidR="00D222C8">
        <w:t xml:space="preserve"> (</w:t>
      </w:r>
      <w:r w:rsidR="00130337">
        <w:t xml:space="preserve">may </w:t>
      </w:r>
      <w:proofErr w:type="gramStart"/>
      <w:r w:rsidR="00130337">
        <w:t>be located in</w:t>
      </w:r>
      <w:proofErr w:type="gramEnd"/>
      <w:r w:rsidR="00130337">
        <w:t xml:space="preserve"> Appendix</w:t>
      </w:r>
      <w:r w:rsidR="005A687C">
        <w:t>)</w:t>
      </w:r>
    </w:p>
    <w:p w14:paraId="7C5C4E6F" w14:textId="77777777" w:rsidR="00427E76" w:rsidRDefault="00427E76" w:rsidP="00427E76">
      <w:pPr>
        <w:pStyle w:val="NoSpacing"/>
        <w:numPr>
          <w:ilvl w:val="0"/>
          <w:numId w:val="22"/>
        </w:numPr>
      </w:pPr>
      <w:r>
        <w:t>Equipment Requirements</w:t>
      </w:r>
    </w:p>
    <w:p w14:paraId="7C3A02DD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List of available equipment for reuse</w:t>
      </w:r>
    </w:p>
    <w:p w14:paraId="588CD2F1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Additional equipment</w:t>
      </w:r>
    </w:p>
    <w:p w14:paraId="2D854EBA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Fixed equipment</w:t>
      </w:r>
    </w:p>
    <w:p w14:paraId="6E2A13FA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Moveable equipment</w:t>
      </w:r>
    </w:p>
    <w:p w14:paraId="5F4D58ED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Special and technical equipment</w:t>
      </w:r>
    </w:p>
    <w:p w14:paraId="355966B9" w14:textId="77777777" w:rsidR="00427E76" w:rsidRDefault="00427E76" w:rsidP="00427E76">
      <w:pPr>
        <w:pStyle w:val="NoSpacing"/>
        <w:numPr>
          <w:ilvl w:val="0"/>
          <w:numId w:val="22"/>
        </w:numPr>
      </w:pPr>
      <w:r>
        <w:t>Special Design Considerations</w:t>
      </w:r>
    </w:p>
    <w:p w14:paraId="41C68CE4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Construction type</w:t>
      </w:r>
    </w:p>
    <w:p w14:paraId="7917DDD1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Heating and cooling systems</w:t>
      </w:r>
    </w:p>
    <w:p w14:paraId="23A596B6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Life Safety &amp; ADA</w:t>
      </w:r>
    </w:p>
    <w:p w14:paraId="22937A4B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Historic or architectural significance</w:t>
      </w:r>
    </w:p>
    <w:p w14:paraId="0EC74F3D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Artwork (for applicable projects)</w:t>
      </w:r>
    </w:p>
    <w:p w14:paraId="0F378F49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Phasing</w:t>
      </w:r>
    </w:p>
    <w:p w14:paraId="618098DE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Future expansion</w:t>
      </w:r>
    </w:p>
    <w:p w14:paraId="1D756314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Other</w:t>
      </w:r>
    </w:p>
    <w:p w14:paraId="3B66B55B" w14:textId="77777777" w:rsidR="00427E76" w:rsidRDefault="00427E76" w:rsidP="00427E76">
      <w:pPr>
        <w:pStyle w:val="NoSpacing"/>
        <w:numPr>
          <w:ilvl w:val="0"/>
          <w:numId w:val="22"/>
        </w:numPr>
      </w:pPr>
      <w:r>
        <w:t>Project Budget and Fiscal Impact</w:t>
      </w:r>
    </w:p>
    <w:p w14:paraId="6E483BA6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Cost estimates criteria</w:t>
      </w:r>
    </w:p>
    <w:p w14:paraId="6425361B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Identify standards, comparisons and sources used to develop estimated costs</w:t>
      </w:r>
    </w:p>
    <w:p w14:paraId="02998BBE" w14:textId="77777777" w:rsidR="00427E76" w:rsidRDefault="00427E76" w:rsidP="00427E76">
      <w:pPr>
        <w:pStyle w:val="NoSpacing"/>
        <w:numPr>
          <w:ilvl w:val="2"/>
          <w:numId w:val="22"/>
        </w:numPr>
      </w:pPr>
      <w:r>
        <w:t xml:space="preserve">Identify the year and month on which the estimates are </w:t>
      </w:r>
      <w:proofErr w:type="gramStart"/>
      <w:r>
        <w:t>based</w:t>
      </w:r>
      <w:proofErr w:type="gramEnd"/>
      <w:r>
        <w:t xml:space="preserve"> and inflation factors used</w:t>
      </w:r>
    </w:p>
    <w:p w14:paraId="5792BB02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Gross and net square feet</w:t>
      </w:r>
    </w:p>
    <w:p w14:paraId="331D2468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Construction cost per gross square foot</w:t>
      </w:r>
    </w:p>
    <w:p w14:paraId="000A6AC0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Total project cost per gross square foot</w:t>
      </w:r>
    </w:p>
    <w:p w14:paraId="2AADE75F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Total project cost</w:t>
      </w:r>
    </w:p>
    <w:p w14:paraId="6C91F403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Program planning</w:t>
      </w:r>
    </w:p>
    <w:p w14:paraId="364B1006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Professional fees for design consultants, in-house, and other consultants</w:t>
      </w:r>
    </w:p>
    <w:p w14:paraId="78B2969C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Construction – general, mechanical, electrical, elevator, fixed equipment, and site improvements</w:t>
      </w:r>
    </w:p>
    <w:p w14:paraId="7648D61B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Moveable equipment</w:t>
      </w:r>
    </w:p>
    <w:p w14:paraId="634AB853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Special and technical equipment</w:t>
      </w:r>
    </w:p>
    <w:p w14:paraId="448E455C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Land acquisition</w:t>
      </w:r>
    </w:p>
    <w:p w14:paraId="2107A1E8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Artwork (for applicable projects)</w:t>
      </w:r>
    </w:p>
    <w:p w14:paraId="3CDAFFB2" w14:textId="77777777" w:rsidR="00427E76" w:rsidRDefault="00427E76" w:rsidP="00427E76">
      <w:pPr>
        <w:pStyle w:val="NoSpacing"/>
        <w:numPr>
          <w:ilvl w:val="2"/>
          <w:numId w:val="22"/>
        </w:numPr>
      </w:pPr>
      <w:r>
        <w:lastRenderedPageBreak/>
        <w:t>Other costs (administration costs, moving, temporary space, testing, surveys, legal fees, insurance, and so forth)</w:t>
      </w:r>
    </w:p>
    <w:p w14:paraId="38903545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Project contingency</w:t>
      </w:r>
    </w:p>
    <w:p w14:paraId="0F58573C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Fiscal impact based on first full year of operation (include proposed funding sources and percentage of each)</w:t>
      </w:r>
    </w:p>
    <w:p w14:paraId="4B1750FE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Estimated additional operational and maintenance costs per year</w:t>
      </w:r>
    </w:p>
    <w:p w14:paraId="588B02F4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Estimated additional programmatic costs per year</w:t>
      </w:r>
    </w:p>
    <w:p w14:paraId="67FD2CF2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Other</w:t>
      </w:r>
    </w:p>
    <w:p w14:paraId="76B225BD" w14:textId="77777777" w:rsidR="00427E76" w:rsidRDefault="00427E76" w:rsidP="00427E76">
      <w:pPr>
        <w:pStyle w:val="NoSpacing"/>
        <w:numPr>
          <w:ilvl w:val="0"/>
          <w:numId w:val="22"/>
        </w:numPr>
      </w:pPr>
      <w:r>
        <w:t>Funding</w:t>
      </w:r>
    </w:p>
    <w:p w14:paraId="2B5EBE18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Total funds required</w:t>
      </w:r>
    </w:p>
    <w:p w14:paraId="6CAF7110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Project funding sources</w:t>
      </w:r>
    </w:p>
    <w:p w14:paraId="2191648E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State funds</w:t>
      </w:r>
    </w:p>
    <w:p w14:paraId="61CB6B3C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Cash funds</w:t>
      </w:r>
    </w:p>
    <w:p w14:paraId="53DDB9DB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Federal funds</w:t>
      </w:r>
    </w:p>
    <w:p w14:paraId="7C2FF753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LB309 Task Force funds</w:t>
      </w:r>
    </w:p>
    <w:p w14:paraId="57301327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Revenue bonds</w:t>
      </w:r>
    </w:p>
    <w:p w14:paraId="6A5B9D80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Private donations</w:t>
      </w:r>
    </w:p>
    <w:p w14:paraId="57B62BA3" w14:textId="77777777" w:rsidR="00427E76" w:rsidRDefault="00427E76" w:rsidP="00427E76">
      <w:pPr>
        <w:pStyle w:val="NoSpacing"/>
        <w:numPr>
          <w:ilvl w:val="2"/>
          <w:numId w:val="22"/>
        </w:numPr>
      </w:pPr>
      <w:r>
        <w:t>Other sources</w:t>
      </w:r>
    </w:p>
    <w:p w14:paraId="02B4FAE3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Fiscal year expenditures for project duration</w:t>
      </w:r>
    </w:p>
    <w:p w14:paraId="740994CD" w14:textId="6FE756EC" w:rsidR="00427E76" w:rsidRDefault="00427E76" w:rsidP="00427E76">
      <w:pPr>
        <w:pStyle w:val="NoSpacing"/>
        <w:numPr>
          <w:ilvl w:val="0"/>
          <w:numId w:val="22"/>
        </w:numPr>
      </w:pPr>
      <w:r>
        <w:t>Time</w:t>
      </w:r>
      <w:r w:rsidR="00BC78EC">
        <w:t>l</w:t>
      </w:r>
      <w:r>
        <w:t>ine</w:t>
      </w:r>
    </w:p>
    <w:p w14:paraId="2E9E8179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Need Statement (if applicable)</w:t>
      </w:r>
    </w:p>
    <w:p w14:paraId="11D9D940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Program Statement</w:t>
      </w:r>
    </w:p>
    <w:p w14:paraId="6D701B01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Funding</w:t>
      </w:r>
    </w:p>
    <w:p w14:paraId="00C8DC65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Professional consultant selection</w:t>
      </w:r>
    </w:p>
    <w:p w14:paraId="34BBB8E1" w14:textId="77777777" w:rsidR="00A26CC9" w:rsidRDefault="00A26CC9" w:rsidP="00427E76">
      <w:pPr>
        <w:pStyle w:val="NoSpacing"/>
        <w:numPr>
          <w:ilvl w:val="1"/>
          <w:numId w:val="22"/>
        </w:numPr>
      </w:pPr>
      <w:r>
        <w:t xml:space="preserve">Construction Manager at Risk </w:t>
      </w:r>
      <w:r w:rsidR="00C578FE">
        <w:t xml:space="preserve">(CMR) </w:t>
      </w:r>
      <w:r>
        <w:t>selection (if applicable)</w:t>
      </w:r>
    </w:p>
    <w:p w14:paraId="20B04D55" w14:textId="77777777" w:rsidR="00A26CC9" w:rsidRDefault="00A26CC9" w:rsidP="00427E76">
      <w:pPr>
        <w:pStyle w:val="NoSpacing"/>
        <w:numPr>
          <w:ilvl w:val="1"/>
          <w:numId w:val="22"/>
        </w:numPr>
      </w:pPr>
      <w:r>
        <w:t>Schematic Design</w:t>
      </w:r>
    </w:p>
    <w:p w14:paraId="269380B2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Design Development documents</w:t>
      </w:r>
    </w:p>
    <w:p w14:paraId="03BD0173" w14:textId="77777777" w:rsidR="00C578FE" w:rsidRDefault="00C578FE" w:rsidP="00427E76">
      <w:pPr>
        <w:pStyle w:val="NoSpacing"/>
        <w:numPr>
          <w:ilvl w:val="1"/>
          <w:numId w:val="22"/>
        </w:numPr>
      </w:pPr>
      <w:r>
        <w:t>Construction/bidding documents, and receive bids</w:t>
      </w:r>
    </w:p>
    <w:p w14:paraId="04ED4D45" w14:textId="77777777" w:rsidR="00427E76" w:rsidRDefault="00C578FE" w:rsidP="00427E76">
      <w:pPr>
        <w:pStyle w:val="NoSpacing"/>
        <w:numPr>
          <w:ilvl w:val="1"/>
          <w:numId w:val="22"/>
        </w:numPr>
      </w:pPr>
      <w:r>
        <w:t>A</w:t>
      </w:r>
      <w:r w:rsidR="00A26CC9">
        <w:t>ward contract</w:t>
      </w:r>
      <w:r w:rsidR="00CA55DA">
        <w:t>,</w:t>
      </w:r>
      <w:r>
        <w:t xml:space="preserve"> or determine Guaranteed Maximum Price (GMP)</w:t>
      </w:r>
    </w:p>
    <w:p w14:paraId="1EB9F98B" w14:textId="77777777" w:rsidR="00427E76" w:rsidRDefault="00A26CC9" w:rsidP="00427E76">
      <w:pPr>
        <w:pStyle w:val="NoSpacing"/>
        <w:numPr>
          <w:ilvl w:val="1"/>
          <w:numId w:val="22"/>
        </w:numPr>
      </w:pPr>
      <w:r>
        <w:t>S</w:t>
      </w:r>
      <w:r w:rsidR="00427E76">
        <w:t>tart of construction</w:t>
      </w:r>
    </w:p>
    <w:p w14:paraId="5FA6FE6E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Completion of construction</w:t>
      </w:r>
    </w:p>
    <w:p w14:paraId="247BBB9C" w14:textId="77777777" w:rsidR="00427E76" w:rsidRDefault="00427E76" w:rsidP="00427E76">
      <w:pPr>
        <w:pStyle w:val="NoSpacing"/>
        <w:numPr>
          <w:ilvl w:val="0"/>
          <w:numId w:val="22"/>
        </w:numPr>
      </w:pPr>
      <w:r>
        <w:t>Higher Education Supplement</w:t>
      </w:r>
    </w:p>
    <w:p w14:paraId="39D91235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CCPE Review - required, or not required</w:t>
      </w:r>
    </w:p>
    <w:p w14:paraId="579C607B" w14:textId="77777777" w:rsidR="00427E76" w:rsidRDefault="00427E76" w:rsidP="00427E76">
      <w:pPr>
        <w:pStyle w:val="NoSpacing"/>
        <w:numPr>
          <w:ilvl w:val="1"/>
          <w:numId w:val="22"/>
        </w:numPr>
      </w:pPr>
      <w:r>
        <w:t>Method of contracting – Identify method and provide rationale for selection</w:t>
      </w:r>
    </w:p>
    <w:p w14:paraId="252E37BC" w14:textId="77777777" w:rsidR="004A6149" w:rsidRDefault="004A6149" w:rsidP="004A6149">
      <w:pPr>
        <w:pStyle w:val="NoSpacing"/>
      </w:pPr>
    </w:p>
    <w:p w14:paraId="791CF418" w14:textId="77777777" w:rsidR="004A6149" w:rsidRDefault="004A6149" w:rsidP="004A6149">
      <w:pPr>
        <w:pStyle w:val="NoSpacing"/>
      </w:pPr>
      <w:r>
        <w:t>End.</w:t>
      </w:r>
    </w:p>
    <w:p w14:paraId="66CD43E3" w14:textId="77777777" w:rsidR="00B744EF" w:rsidRPr="00530887" w:rsidRDefault="00B744EF" w:rsidP="00625B4A">
      <w:pPr>
        <w:rPr>
          <w:i/>
        </w:rPr>
      </w:pPr>
    </w:p>
    <w:sectPr w:rsidR="00B744EF" w:rsidRPr="00530887" w:rsidSect="00DE2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64C"/>
    <w:multiLevelType w:val="hybridMultilevel"/>
    <w:tmpl w:val="5E901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5DD2"/>
    <w:multiLevelType w:val="multilevel"/>
    <w:tmpl w:val="ED128A4A"/>
    <w:numStyleLink w:val="GuidelineList"/>
  </w:abstractNum>
  <w:abstractNum w:abstractNumId="2" w15:restartNumberingAfterBreak="0">
    <w:nsid w:val="074A457E"/>
    <w:multiLevelType w:val="hybridMultilevel"/>
    <w:tmpl w:val="5FAA7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BF6AF3"/>
    <w:multiLevelType w:val="hybridMultilevel"/>
    <w:tmpl w:val="8F400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955845"/>
    <w:multiLevelType w:val="hybridMultilevel"/>
    <w:tmpl w:val="2708B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7D7"/>
    <w:multiLevelType w:val="hybridMultilevel"/>
    <w:tmpl w:val="1D06C3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CF5EA5"/>
    <w:multiLevelType w:val="multilevel"/>
    <w:tmpl w:val="ED128A4A"/>
    <w:styleLink w:val="Guideline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Style1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lowerLetter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F51C4A"/>
    <w:multiLevelType w:val="hybridMultilevel"/>
    <w:tmpl w:val="E0AA70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051FDF"/>
    <w:multiLevelType w:val="hybridMultilevel"/>
    <w:tmpl w:val="EAFE95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6A38E4"/>
    <w:multiLevelType w:val="hybridMultilevel"/>
    <w:tmpl w:val="857C4E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01615B"/>
    <w:multiLevelType w:val="hybridMultilevel"/>
    <w:tmpl w:val="5D5E32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5149A4"/>
    <w:multiLevelType w:val="hybridMultilevel"/>
    <w:tmpl w:val="443A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70E0E"/>
    <w:multiLevelType w:val="hybridMultilevel"/>
    <w:tmpl w:val="C3144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046267"/>
    <w:multiLevelType w:val="hybridMultilevel"/>
    <w:tmpl w:val="C50CF44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E34021"/>
    <w:multiLevelType w:val="hybridMultilevel"/>
    <w:tmpl w:val="D006FF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686E00"/>
    <w:multiLevelType w:val="hybridMultilevel"/>
    <w:tmpl w:val="1DC6B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5310A"/>
    <w:multiLevelType w:val="hybridMultilevel"/>
    <w:tmpl w:val="2550B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AC3ABA"/>
    <w:multiLevelType w:val="hybridMultilevel"/>
    <w:tmpl w:val="3EE2D2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E92575"/>
    <w:multiLevelType w:val="hybridMultilevel"/>
    <w:tmpl w:val="44700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F61AA3"/>
    <w:multiLevelType w:val="hybridMultilevel"/>
    <w:tmpl w:val="0C2EC6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FD05A7"/>
    <w:multiLevelType w:val="hybridMultilevel"/>
    <w:tmpl w:val="372AA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53DFA"/>
    <w:multiLevelType w:val="hybridMultilevel"/>
    <w:tmpl w:val="B43631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21"/>
  </w:num>
  <w:num w:numId="6">
    <w:abstractNumId w:val="15"/>
  </w:num>
  <w:num w:numId="7">
    <w:abstractNumId w:val="6"/>
  </w:num>
  <w:num w:numId="8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upperLetter"/>
        <w:pStyle w:val="Style1"/>
        <w:lvlText w:val="%1.%2."/>
        <w:lvlJc w:val="left"/>
        <w:pPr>
          <w:ind w:left="792" w:hanging="432"/>
        </w:pPr>
        <w:rPr>
          <w:b w:val="0"/>
        </w:rPr>
      </w:lvl>
    </w:lvlOverride>
  </w:num>
  <w:num w:numId="9">
    <w:abstractNumId w:val="5"/>
  </w:num>
  <w:num w:numId="10">
    <w:abstractNumId w:val="0"/>
  </w:num>
  <w:num w:numId="11">
    <w:abstractNumId w:val="16"/>
  </w:num>
  <w:num w:numId="12">
    <w:abstractNumId w:val="14"/>
  </w:num>
  <w:num w:numId="13">
    <w:abstractNumId w:val="13"/>
  </w:num>
  <w:num w:numId="14">
    <w:abstractNumId w:val="18"/>
  </w:num>
  <w:num w:numId="15">
    <w:abstractNumId w:val="17"/>
  </w:num>
  <w:num w:numId="16">
    <w:abstractNumId w:val="2"/>
  </w:num>
  <w:num w:numId="17">
    <w:abstractNumId w:val="19"/>
  </w:num>
  <w:num w:numId="18">
    <w:abstractNumId w:val="12"/>
  </w:num>
  <w:num w:numId="19">
    <w:abstractNumId w:val="8"/>
  </w:num>
  <w:num w:numId="20">
    <w:abstractNumId w:val="3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4A"/>
    <w:rsid w:val="00016B30"/>
    <w:rsid w:val="00130337"/>
    <w:rsid w:val="00224DDB"/>
    <w:rsid w:val="00415231"/>
    <w:rsid w:val="00427E76"/>
    <w:rsid w:val="004560C7"/>
    <w:rsid w:val="004A6149"/>
    <w:rsid w:val="004C1073"/>
    <w:rsid w:val="005129A4"/>
    <w:rsid w:val="00530887"/>
    <w:rsid w:val="005A687C"/>
    <w:rsid w:val="00625B4A"/>
    <w:rsid w:val="00645E89"/>
    <w:rsid w:val="006629D6"/>
    <w:rsid w:val="00767CD2"/>
    <w:rsid w:val="0078594D"/>
    <w:rsid w:val="008C6000"/>
    <w:rsid w:val="00A26CC9"/>
    <w:rsid w:val="00A80426"/>
    <w:rsid w:val="00B1329B"/>
    <w:rsid w:val="00B744EF"/>
    <w:rsid w:val="00BC78EC"/>
    <w:rsid w:val="00C2390A"/>
    <w:rsid w:val="00C578FE"/>
    <w:rsid w:val="00CA55DA"/>
    <w:rsid w:val="00D222C8"/>
    <w:rsid w:val="00D756E6"/>
    <w:rsid w:val="00D77CD6"/>
    <w:rsid w:val="00DE216B"/>
    <w:rsid w:val="00DE2954"/>
    <w:rsid w:val="00E1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94998"/>
  <w15:chartTrackingRefBased/>
  <w15:docId w15:val="{47F462DD-5857-4408-91F2-0D88034E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B4A"/>
    <w:pPr>
      <w:ind w:left="720"/>
      <w:contextualSpacing/>
    </w:pPr>
  </w:style>
  <w:style w:type="table" w:styleId="TableGrid">
    <w:name w:val="Table Grid"/>
    <w:basedOn w:val="TableNormal"/>
    <w:uiPriority w:val="39"/>
    <w:rsid w:val="00E1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0C7"/>
    <w:rPr>
      <w:rFonts w:ascii="Segoe UI" w:hAnsi="Segoe UI" w:cs="Segoe UI"/>
      <w:sz w:val="18"/>
      <w:szCs w:val="18"/>
    </w:rPr>
  </w:style>
  <w:style w:type="numbering" w:customStyle="1" w:styleId="GuidelineList">
    <w:name w:val="GuidelineList"/>
    <w:uiPriority w:val="99"/>
    <w:rsid w:val="00645E89"/>
    <w:pPr>
      <w:numPr>
        <w:numId w:val="7"/>
      </w:numPr>
    </w:pPr>
  </w:style>
  <w:style w:type="paragraph" w:customStyle="1" w:styleId="Style1">
    <w:name w:val="Style1"/>
    <w:basedOn w:val="Normal"/>
    <w:next w:val="Normal"/>
    <w:qFormat/>
    <w:rsid w:val="00645E89"/>
    <w:pPr>
      <w:numPr>
        <w:ilvl w:val="1"/>
        <w:numId w:val="8"/>
      </w:numPr>
      <w:spacing w:line="259" w:lineRule="auto"/>
    </w:pPr>
    <w:rPr>
      <w:b/>
    </w:rPr>
  </w:style>
  <w:style w:type="paragraph" w:styleId="NoSpacing">
    <w:name w:val="No Spacing"/>
    <w:uiPriority w:val="1"/>
    <w:qFormat/>
    <w:rsid w:val="004A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Kupper</dc:creator>
  <cp:keywords/>
  <dc:description/>
  <cp:lastModifiedBy>Steve Hotovy</cp:lastModifiedBy>
  <cp:revision>12</cp:revision>
  <dcterms:created xsi:type="dcterms:W3CDTF">2020-03-10T15:35:00Z</dcterms:created>
  <dcterms:modified xsi:type="dcterms:W3CDTF">2021-08-17T18:25:00Z</dcterms:modified>
</cp:coreProperties>
</file>